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11" w:rsidRPr="00A74411" w:rsidRDefault="00A74411" w:rsidP="00A74411">
      <w:pPr>
        <w:jc w:val="center"/>
      </w:pPr>
      <w:r w:rsidRPr="00A74411">
        <w:rPr>
          <w:noProof/>
          <w:lang w:eastAsia="hr-HR"/>
        </w:rPr>
        <w:drawing>
          <wp:inline distT="0" distB="0" distL="0" distR="0">
            <wp:extent cx="1890952" cy="720000"/>
            <wp:effectExtent l="0" t="0" r="0" b="4445"/>
            <wp:docPr id="12" name="Picture 12" descr="Logo_PR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PRO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5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411" w:rsidRPr="00A74411" w:rsidRDefault="00A74411" w:rsidP="00A74411">
      <w:pPr>
        <w:jc w:val="center"/>
        <w:rPr>
          <w:rFonts w:ascii="Arial Black" w:hAnsi="Arial Black" w:cs="Arial"/>
          <w:sz w:val="40"/>
        </w:rPr>
      </w:pPr>
      <w:r w:rsidRPr="00A74411">
        <w:rPr>
          <w:rFonts w:ascii="Arial Black" w:hAnsi="Arial Black" w:cs="Arial"/>
          <w:sz w:val="40"/>
        </w:rPr>
        <w:t>PRavilnim primjerOM učimo</w:t>
      </w:r>
      <w:r w:rsidR="00B21CC4" w:rsidRPr="00B21CC4">
        <w:rPr>
          <w:rFonts w:ascii="Arial Black" w:hAnsi="Arial Black" w:cs="Arial"/>
          <w:sz w:val="40"/>
        </w:rPr>
        <w:t xml:space="preserve"> </w:t>
      </w:r>
      <w:r w:rsidRPr="00A74411">
        <w:rPr>
          <w:rFonts w:ascii="Arial Black" w:hAnsi="Arial Black" w:cs="Arial"/>
          <w:sz w:val="40"/>
        </w:rPr>
        <w:t>zaštititi okOliš</w:t>
      </w:r>
    </w:p>
    <w:p w:rsidR="00A74411" w:rsidRPr="00A74411" w:rsidRDefault="00A74411" w:rsidP="00A74411">
      <w:pPr>
        <w:rPr>
          <w:sz w:val="16"/>
        </w:rPr>
      </w:pPr>
    </w:p>
    <w:p w:rsidR="00A74411" w:rsidRPr="00A74411" w:rsidRDefault="00A74411" w:rsidP="00A74411">
      <w:pPr>
        <w:jc w:val="center"/>
        <w:rPr>
          <w:rFonts w:cstheme="minorHAnsi"/>
          <w:sz w:val="36"/>
        </w:rPr>
      </w:pPr>
      <w:r w:rsidRPr="00A74411">
        <w:rPr>
          <w:rFonts w:cstheme="minorHAnsi"/>
          <w:sz w:val="36"/>
        </w:rPr>
        <w:t>Projekt je sufinancirala Europska unija iz Kohezijskog fonda</w:t>
      </w:r>
    </w:p>
    <w:p w:rsidR="00A74411" w:rsidRPr="00A74411" w:rsidRDefault="00A74411" w:rsidP="00A74411">
      <w:pPr>
        <w:jc w:val="center"/>
        <w:rPr>
          <w:rFonts w:cstheme="minorHAnsi"/>
          <w:sz w:val="24"/>
          <w:szCs w:val="24"/>
        </w:rPr>
      </w:pPr>
    </w:p>
    <w:p w:rsidR="00A74411" w:rsidRPr="00A74411" w:rsidRDefault="00A74411" w:rsidP="00A74411">
      <w:pPr>
        <w:jc w:val="center"/>
      </w:pPr>
      <w:r w:rsidRPr="00A74411">
        <w:rPr>
          <w:noProof/>
          <w:lang w:eastAsia="hr-HR"/>
        </w:rPr>
        <w:drawing>
          <wp:inline distT="0" distB="0" distL="0" distR="0" wp14:anchorId="678EFD8B" wp14:editId="73A1A173">
            <wp:extent cx="2098276" cy="720000"/>
            <wp:effectExtent l="0" t="0" r="0" b="4445"/>
            <wp:docPr id="2" name="Picture 2" descr="D:\Users\denis.premec\AppData\Local\Microsoft\Windows\INetCache\Content.Word\ESIF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Users\denis.premec\AppData\Local\Microsoft\Windows\INetCache\Content.Word\ESIF_horizon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7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A74411">
        <w:rPr>
          <w:noProof/>
          <w:lang w:eastAsia="hr-HR"/>
        </w:rPr>
        <w:drawing>
          <wp:inline distT="0" distB="0" distL="0" distR="0">
            <wp:extent cx="932032" cy="756000"/>
            <wp:effectExtent l="0" t="0" r="1905" b="6350"/>
            <wp:docPr id="11" name="Picture 11" descr="ZastavaEU+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astavaEU+tek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32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A74411">
        <w:rPr>
          <w:noProof/>
          <w:lang w:eastAsia="hr-HR"/>
        </w:rPr>
        <w:drawing>
          <wp:inline distT="0" distB="0" distL="0" distR="0" wp14:anchorId="1ABB9E75" wp14:editId="2ABAB4B7">
            <wp:extent cx="2356058" cy="626400"/>
            <wp:effectExtent l="0" t="0" r="6350" b="2540"/>
            <wp:docPr id="1" name="Picture 1" descr="D:\Users\denis.premec\AppData\Local\Microsoft\Windows\INetCache\Content.Word\OPKK_boja_bez pozadine_v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denis.premec\AppData\Local\Microsoft\Windows\INetCache\Content.Word\OPKK_boja_bez pozadine_vec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58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411" w:rsidRPr="00A74411" w:rsidRDefault="00A74411" w:rsidP="00A74411">
      <w:pPr>
        <w:jc w:val="center"/>
        <w:rPr>
          <w:rFonts w:ascii="Arial Black" w:eastAsia="+mn-ea" w:hAnsi="Arial Black" w:cs="+mn-cs"/>
          <w:color w:val="585856"/>
          <w:spacing w:val="20"/>
          <w:sz w:val="18"/>
          <w:szCs w:val="32"/>
          <w:lang w:val="it-IT"/>
        </w:rPr>
      </w:pPr>
    </w:p>
    <w:p w:rsidR="00A74411" w:rsidRPr="00A74411" w:rsidRDefault="00A74411" w:rsidP="00A74411">
      <w:pPr>
        <w:jc w:val="center"/>
        <w:rPr>
          <w:rFonts w:ascii="Arial Black" w:eastAsia="+mn-ea" w:hAnsi="Arial Black" w:cs="+mn-cs"/>
          <w:color w:val="585856"/>
          <w:spacing w:val="20"/>
          <w:sz w:val="54"/>
          <w:szCs w:val="32"/>
          <w:lang w:val="it-IT"/>
        </w:rPr>
      </w:pPr>
      <w:r w:rsidRPr="00A74411">
        <w:rPr>
          <w:rFonts w:ascii="Arial Black" w:eastAsia="+mn-ea" w:hAnsi="Arial Black" w:cs="+mn-cs"/>
          <w:color w:val="585856"/>
          <w:spacing w:val="20"/>
          <w:sz w:val="38"/>
          <w:szCs w:val="32"/>
          <w:lang w:val="it-IT"/>
        </w:rPr>
        <w:t>NEMA</w:t>
      </w:r>
      <w:r w:rsidRPr="00A74411">
        <w:rPr>
          <w:rFonts w:ascii="Arial Black" w:eastAsia="+mn-ea" w:hAnsi="Arial Black" w:cs="+mn-cs"/>
          <w:color w:val="585856"/>
          <w:spacing w:val="20"/>
          <w:sz w:val="38"/>
          <w:szCs w:val="32"/>
        </w:rPr>
        <w:t xml:space="preserve"> </w:t>
      </w:r>
      <w:r w:rsidRPr="00A74411">
        <w:rPr>
          <w:rFonts w:ascii="Arial Black" w:eastAsia="+mn-ea" w:hAnsi="Arial Black" w:cs="+mn-cs"/>
          <w:color w:val="585856"/>
          <w:spacing w:val="20"/>
          <w:sz w:val="38"/>
          <w:szCs w:val="32"/>
          <w:lang w:val="it-IT"/>
        </w:rPr>
        <w:t>VIŠE</w:t>
      </w:r>
      <w:r w:rsidRPr="00A74411">
        <w:rPr>
          <w:rFonts w:ascii="Arial Black" w:eastAsia="+mn-ea" w:hAnsi="Arial Black" w:cs="+mn-cs"/>
          <w:color w:val="585856"/>
          <w:spacing w:val="20"/>
          <w:sz w:val="38"/>
          <w:szCs w:val="32"/>
        </w:rPr>
        <w:t xml:space="preserve"> </w:t>
      </w:r>
      <w:r w:rsidRPr="00A74411">
        <w:rPr>
          <w:rFonts w:ascii="Arial Black" w:eastAsia="+mn-ea" w:hAnsi="Arial Black" w:cs="+mn-cs"/>
          <w:color w:val="585856"/>
          <w:spacing w:val="20"/>
          <w:sz w:val="38"/>
          <w:szCs w:val="32"/>
          <w:lang w:val="it-IT"/>
        </w:rPr>
        <w:t>K</w:t>
      </w:r>
      <w:r w:rsidRPr="00A74411">
        <w:rPr>
          <w:rFonts w:ascii="Arial Black" w:eastAsia="+mn-ea" w:hAnsi="Arial Black" w:cs="+mn-cs"/>
          <w:color w:val="794624"/>
          <w:spacing w:val="20"/>
          <w:sz w:val="38"/>
          <w:szCs w:val="32"/>
          <w:lang w:val="it-IT"/>
        </w:rPr>
        <w:t>A</w:t>
      </w:r>
      <w:r w:rsidRPr="00A74411">
        <w:rPr>
          <w:rFonts w:ascii="Arial Black" w:eastAsia="+mn-ea" w:hAnsi="Arial Black" w:cs="+mn-cs"/>
          <w:color w:val="146BB4"/>
          <w:spacing w:val="20"/>
          <w:sz w:val="38"/>
          <w:szCs w:val="32"/>
          <w:lang w:val="it-IT"/>
        </w:rPr>
        <w:t>N</w:t>
      </w:r>
      <w:r w:rsidRPr="00A74411">
        <w:rPr>
          <w:rFonts w:ascii="Arial Black" w:eastAsia="+mn-ea" w:hAnsi="Arial Black" w:cs="+mn-cs"/>
          <w:color w:val="F7B232"/>
          <w:spacing w:val="20"/>
          <w:sz w:val="38"/>
          <w:szCs w:val="32"/>
          <w:lang w:val="it-IT"/>
        </w:rPr>
        <w:t>T</w:t>
      </w:r>
      <w:r w:rsidRPr="00A74411">
        <w:rPr>
          <w:rFonts w:ascii="Arial Black" w:eastAsia="+mn-ea" w:hAnsi="Arial Black" w:cs="+mn-cs"/>
          <w:color w:val="017E4D"/>
          <w:spacing w:val="20"/>
          <w:sz w:val="38"/>
          <w:szCs w:val="32"/>
          <w:lang w:val="it-IT"/>
        </w:rPr>
        <w:t>I</w:t>
      </w:r>
      <w:r w:rsidRPr="00A74411">
        <w:rPr>
          <w:rFonts w:ascii="Arial Black" w:eastAsia="+mn-ea" w:hAnsi="Arial Black" w:cs="+mn-cs"/>
          <w:color w:val="BE8867"/>
          <w:spacing w:val="20"/>
          <w:sz w:val="38"/>
          <w:szCs w:val="32"/>
          <w:lang w:val="it-IT"/>
        </w:rPr>
        <w:t>C</w:t>
      </w:r>
      <w:r w:rsidRPr="00A74411">
        <w:rPr>
          <w:rFonts w:ascii="Arial Black" w:eastAsia="+mn-ea" w:hAnsi="Arial Black" w:cs="+mn-cs"/>
          <w:color w:val="808282"/>
          <w:spacing w:val="20"/>
          <w:sz w:val="38"/>
          <w:szCs w:val="32"/>
          <w:lang w:val="it-IT"/>
        </w:rPr>
        <w:t>E</w:t>
      </w:r>
      <w:r w:rsidRPr="00A74411">
        <w:rPr>
          <w:rFonts w:ascii="Arial Black" w:eastAsia="+mn-ea" w:hAnsi="Arial Black" w:cs="+mn-cs"/>
          <w:color w:val="808282"/>
          <w:spacing w:val="20"/>
          <w:sz w:val="38"/>
          <w:szCs w:val="32"/>
        </w:rPr>
        <w:t xml:space="preserve"> </w:t>
      </w:r>
      <w:r w:rsidRPr="00A74411">
        <w:rPr>
          <w:rFonts w:ascii="Arial Black" w:eastAsia="+mn-ea" w:hAnsi="Arial Black" w:cs="+mn-cs"/>
          <w:color w:val="585856"/>
          <w:spacing w:val="20"/>
          <w:sz w:val="38"/>
          <w:szCs w:val="32"/>
          <w:lang w:val="it-IT"/>
        </w:rPr>
        <w:t>ZA</w:t>
      </w:r>
      <w:r w:rsidRPr="00A74411">
        <w:rPr>
          <w:rFonts w:ascii="Arial Black" w:eastAsia="+mn-ea" w:hAnsi="Arial Black" w:cs="+mn-cs"/>
          <w:color w:val="585856"/>
          <w:spacing w:val="20"/>
          <w:sz w:val="38"/>
          <w:szCs w:val="32"/>
        </w:rPr>
        <w:t xml:space="preserve"> </w:t>
      </w:r>
      <w:r w:rsidRPr="00A74411">
        <w:rPr>
          <w:rFonts w:ascii="Arial Black" w:eastAsia="+mn-ea" w:hAnsi="Arial Black" w:cs="+mn-cs"/>
          <w:color w:val="585856"/>
          <w:spacing w:val="20"/>
          <w:sz w:val="38"/>
          <w:szCs w:val="32"/>
          <w:lang w:val="it-IT"/>
        </w:rPr>
        <w:t>SVE</w:t>
      </w:r>
    </w:p>
    <w:p w:rsidR="00A74411" w:rsidRPr="00A74411" w:rsidRDefault="00A74411" w:rsidP="00A74411">
      <w:pPr>
        <w:jc w:val="center"/>
        <w:rPr>
          <w:rFonts w:ascii="Arial Black" w:hAnsi="Arial Black"/>
          <w:sz w:val="24"/>
          <w:szCs w:val="30"/>
        </w:rPr>
      </w:pPr>
      <w:r w:rsidRPr="00A74411">
        <w:rPr>
          <w:rFonts w:ascii="Arial Black" w:hAnsi="Arial Black"/>
          <w:sz w:val="24"/>
          <w:szCs w:val="30"/>
        </w:rPr>
        <w:t>Nema više bacanja otpada u jedan spremnik!</w:t>
      </w:r>
    </w:p>
    <w:p w:rsidR="00A74411" w:rsidRDefault="00A74411" w:rsidP="00A74411">
      <w:pPr>
        <w:rPr>
          <w:rFonts w:ascii="Arial Black" w:hAnsi="Arial Black"/>
        </w:rPr>
      </w:pPr>
    </w:p>
    <w:p w:rsidR="00B21CC4" w:rsidRPr="00A74411" w:rsidRDefault="00B21CC4" w:rsidP="00B21CC4">
      <w:pPr>
        <w:jc w:val="center"/>
        <w:rPr>
          <w:rFonts w:ascii="Arial" w:hAnsi="Arial" w:cs="Arial"/>
          <w:sz w:val="28"/>
          <w:szCs w:val="60"/>
        </w:rPr>
      </w:pPr>
      <w:r w:rsidRPr="00B21CC4">
        <w:rPr>
          <w:rFonts w:ascii="Arial" w:hAnsi="Arial" w:cs="Arial"/>
          <w:sz w:val="28"/>
          <w:szCs w:val="60"/>
        </w:rPr>
        <w:t>Projektni partneri:</w:t>
      </w:r>
    </w:p>
    <w:p w:rsidR="00A74411" w:rsidRPr="00A74411" w:rsidRDefault="00A74411" w:rsidP="00A74411">
      <w:pPr>
        <w:jc w:val="center"/>
        <w:rPr>
          <w:rFonts w:ascii="Arial" w:hAnsi="Arial" w:cs="Arial"/>
          <w:sz w:val="52"/>
          <w:szCs w:val="60"/>
        </w:rPr>
      </w:pPr>
      <w:r w:rsidRPr="00A74411">
        <w:rPr>
          <w:rFonts w:ascii="Arial" w:hAnsi="Arial" w:cs="Arial"/>
          <w:sz w:val="28"/>
          <w:szCs w:val="60"/>
        </w:rPr>
        <w:t>Grad Varaždin, Općina Mali Bukovec, Općina Sveti Đurđ, Općina Vidovec, Općina Veliki Bukovec, Grad Varaždinske Toplice i Grad Vodice</w:t>
      </w:r>
    </w:p>
    <w:p w:rsidR="00A74411" w:rsidRDefault="00A74411" w:rsidP="00A74411">
      <w:pPr>
        <w:jc w:val="center"/>
        <w:rPr>
          <w:rFonts w:cstheme="minorHAnsi"/>
          <w:sz w:val="74"/>
        </w:rPr>
      </w:pPr>
      <w:r w:rsidRPr="00A74411">
        <w:rPr>
          <w:rFonts w:cstheme="minorHAnsi"/>
          <w:noProof/>
          <w:sz w:val="74"/>
          <w:lang w:eastAsia="hr-HR"/>
        </w:rPr>
        <w:drawing>
          <wp:inline distT="0" distB="0" distL="0" distR="0" wp14:anchorId="57B38B86" wp14:editId="1DFC729E">
            <wp:extent cx="609933" cy="606056"/>
            <wp:effectExtent l="0" t="0" r="0" b="3810"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78" cy="64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411">
        <w:rPr>
          <w:rFonts w:cstheme="minorHAnsi"/>
          <w:sz w:val="74"/>
        </w:rPr>
        <w:tab/>
      </w:r>
      <w:r w:rsidRPr="00A74411">
        <w:rPr>
          <w:rFonts w:cstheme="minorHAnsi"/>
          <w:noProof/>
          <w:sz w:val="74"/>
          <w:lang w:eastAsia="hr-HR"/>
        </w:rPr>
        <w:drawing>
          <wp:inline distT="0" distB="0" distL="0" distR="0" wp14:anchorId="78C5D031" wp14:editId="57D0DBDD">
            <wp:extent cx="497439" cy="604993"/>
            <wp:effectExtent l="0" t="0" r="0" b="508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15" cy="61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411">
        <w:rPr>
          <w:rFonts w:cstheme="minorHAnsi"/>
          <w:sz w:val="74"/>
        </w:rPr>
        <w:tab/>
      </w:r>
      <w:r w:rsidRPr="00A74411">
        <w:rPr>
          <w:rFonts w:cstheme="minorHAnsi"/>
          <w:noProof/>
          <w:sz w:val="74"/>
          <w:lang w:eastAsia="hr-HR"/>
        </w:rPr>
        <w:drawing>
          <wp:inline distT="0" distB="0" distL="0" distR="0" wp14:anchorId="028F9511" wp14:editId="5956503E">
            <wp:extent cx="505513" cy="606416"/>
            <wp:effectExtent l="0" t="0" r="8890" b="381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99" cy="62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411">
        <w:rPr>
          <w:rFonts w:cstheme="minorHAnsi"/>
          <w:sz w:val="74"/>
        </w:rPr>
        <w:tab/>
      </w:r>
      <w:r w:rsidRPr="00A74411">
        <w:rPr>
          <w:rFonts w:cstheme="minorHAnsi"/>
          <w:noProof/>
          <w:sz w:val="74"/>
          <w:lang w:eastAsia="hr-HR"/>
        </w:rPr>
        <w:drawing>
          <wp:inline distT="0" distB="0" distL="0" distR="0" wp14:anchorId="5F5134AA" wp14:editId="495E3BF1">
            <wp:extent cx="516596" cy="61200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96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411">
        <w:rPr>
          <w:rFonts w:cstheme="minorHAnsi"/>
          <w:sz w:val="74"/>
        </w:rPr>
        <w:tab/>
      </w:r>
      <w:r w:rsidRPr="00A74411">
        <w:rPr>
          <w:rFonts w:cstheme="minorHAnsi"/>
          <w:noProof/>
          <w:sz w:val="74"/>
          <w:lang w:eastAsia="hr-HR"/>
        </w:rPr>
        <w:drawing>
          <wp:inline distT="0" distB="0" distL="0" distR="0" wp14:anchorId="3F2E72C1" wp14:editId="73F526A9">
            <wp:extent cx="489240" cy="648000"/>
            <wp:effectExtent l="0" t="0" r="635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4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411">
        <w:rPr>
          <w:rFonts w:cstheme="minorHAnsi"/>
          <w:sz w:val="74"/>
        </w:rPr>
        <w:tab/>
      </w:r>
      <w:r w:rsidRPr="00A74411">
        <w:rPr>
          <w:rFonts w:cstheme="minorHAnsi"/>
          <w:noProof/>
          <w:sz w:val="74"/>
          <w:lang w:eastAsia="hr-HR"/>
        </w:rPr>
        <w:drawing>
          <wp:inline distT="0" distB="0" distL="0" distR="0" wp14:anchorId="1ED9055A" wp14:editId="06AF0D2A">
            <wp:extent cx="478465" cy="602633"/>
            <wp:effectExtent l="0" t="0" r="0" b="6985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61" cy="61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411">
        <w:rPr>
          <w:rFonts w:cstheme="minorHAnsi"/>
          <w:sz w:val="74"/>
        </w:rPr>
        <w:tab/>
      </w:r>
      <w:r w:rsidRPr="00A74411">
        <w:rPr>
          <w:rFonts w:cstheme="minorHAnsi"/>
          <w:noProof/>
          <w:sz w:val="74"/>
          <w:lang w:eastAsia="hr-HR"/>
        </w:rPr>
        <w:drawing>
          <wp:inline distT="0" distB="0" distL="0" distR="0" wp14:anchorId="0498B1F8" wp14:editId="70F022ED">
            <wp:extent cx="499731" cy="608433"/>
            <wp:effectExtent l="0" t="0" r="0" b="127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02" cy="6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411" w:rsidRDefault="00A74411" w:rsidP="00A74411"/>
    <w:p w:rsidR="00D530EC" w:rsidRDefault="00D530EC" w:rsidP="00A74411"/>
    <w:p w:rsidR="00D530EC" w:rsidRPr="00D530EC" w:rsidRDefault="00D530EC" w:rsidP="00D530EC">
      <w:pPr>
        <w:jc w:val="center"/>
        <w:rPr>
          <w:b/>
        </w:rPr>
      </w:pPr>
      <w:r w:rsidRPr="00D530EC">
        <w:rPr>
          <w:b/>
        </w:rPr>
        <w:t>Informacije o projektu</w:t>
      </w:r>
    </w:p>
    <w:p w:rsidR="00B21CC4" w:rsidRDefault="00D530EC" w:rsidP="00A74411">
      <w:r w:rsidRPr="00D530EC">
        <w:t xml:space="preserve">Odvojeno sakupljanje otpada i recikliranje osnove su modernog upravljanja otpadom jer na taj način štedimo prirodne resurse, smanjujemo gomilanje otpada na odlagalištima i štitimo okoliš. Grad Varaždin zato je s partnerima </w:t>
      </w:r>
      <w:r>
        <w:t>g</w:t>
      </w:r>
      <w:r w:rsidRPr="00D530EC">
        <w:t xml:space="preserve">radovima Varaždinske Toplice i Vodice te </w:t>
      </w:r>
      <w:r>
        <w:t>o</w:t>
      </w:r>
      <w:r w:rsidRPr="00D530EC">
        <w:t>pćinama Mali Bukovec, Sveti Đurđ, Vidovec</w:t>
      </w:r>
      <w:r>
        <w:t xml:space="preserve"> i</w:t>
      </w:r>
      <w:r w:rsidRPr="00D530EC">
        <w:t xml:space="preserve"> Veliki Bukovec pokrenuo </w:t>
      </w:r>
      <w:r>
        <w:t xml:space="preserve">i proveo </w:t>
      </w:r>
      <w:r w:rsidRPr="00D530EC">
        <w:t>projekt "PRavilnim primjerOM učimo zaštititi okOliš – PROMO". Projekt se provodi</w:t>
      </w:r>
      <w:r>
        <w:t>o</w:t>
      </w:r>
      <w:r w:rsidRPr="00D530EC">
        <w:t xml:space="preserve"> na području svih ovih jedinica lokalne samouprave.</w:t>
      </w:r>
    </w:p>
    <w:p w:rsidR="00D530EC" w:rsidRDefault="00A96EEE" w:rsidP="00A96EEE">
      <w:r>
        <w:t>Svrha projekta bila je provedbom edukativnih i informativnih aktivnosti o održivom gospodarenju otpadom izgraditi svijest ljudi o važnosti odgovornog postupanja sa komunalnim otpadom te sprečavanju njegovog nastanka, zatim ponovna uporaba, recikliranje i kompostiranje na području grada Varaždina i partnerskih gradova i općina. Ciljna skupina projekta bili su prije svega građani, djeca predškolske i školske dobi, domaći i strani turisti te osobe s invaliditetom.</w:t>
      </w:r>
    </w:p>
    <w:p w:rsidR="00872EEE" w:rsidRDefault="00753184" w:rsidP="00A96EEE">
      <w:r w:rsidRPr="00753184">
        <w:t>Projekt se provodi</w:t>
      </w:r>
      <w:r>
        <w:t>o</w:t>
      </w:r>
      <w:r w:rsidRPr="00753184">
        <w:t xml:space="preserve"> pod glavnim motom </w:t>
      </w:r>
      <w:r w:rsidRPr="00753184">
        <w:rPr>
          <w:b/>
        </w:rPr>
        <w:t>NEMA VIŠE KANTICE ZA SVE</w:t>
      </w:r>
      <w:r w:rsidRPr="00753184">
        <w:t>, jer na području provedbe projekta nema više bacanja otpada u jedan spremnik – za svaku vrstu otpada</w:t>
      </w:r>
      <w:r w:rsidR="001C2FEB">
        <w:t xml:space="preserve"> namijenjen je zaseban spremnik:</w:t>
      </w:r>
    </w:p>
    <w:p w:rsidR="001C2FEB" w:rsidRDefault="001C2FEB" w:rsidP="007F7639">
      <w:pPr>
        <w:pStyle w:val="ListParagraph"/>
        <w:numPr>
          <w:ilvl w:val="0"/>
          <w:numId w:val="5"/>
        </w:numPr>
      </w:pPr>
      <w:r>
        <w:t>Miješani komunalni otpad</w:t>
      </w:r>
      <w:r w:rsidR="007F7639" w:rsidRPr="007F7639">
        <w:t xml:space="preserve"> (crni spremnik)</w:t>
      </w:r>
    </w:p>
    <w:p w:rsidR="001C2FEB" w:rsidRDefault="001C2FEB" w:rsidP="001C2FEB">
      <w:pPr>
        <w:pStyle w:val="ListParagraph"/>
        <w:numPr>
          <w:ilvl w:val="0"/>
          <w:numId w:val="5"/>
        </w:numPr>
      </w:pPr>
      <w:r>
        <w:t>Biorazgradivi otpad</w:t>
      </w:r>
      <w:r w:rsidR="007F7639" w:rsidRPr="007F7639">
        <w:t xml:space="preserve"> (</w:t>
      </w:r>
      <w:r w:rsidR="007F7639">
        <w:t>smeđi</w:t>
      </w:r>
      <w:r w:rsidR="007F7639" w:rsidRPr="007F7639">
        <w:t xml:space="preserve"> spremnik)</w:t>
      </w:r>
    </w:p>
    <w:p w:rsidR="001C2FEB" w:rsidRDefault="001C2FEB" w:rsidP="001C2FEB">
      <w:pPr>
        <w:pStyle w:val="ListParagraph"/>
        <w:numPr>
          <w:ilvl w:val="0"/>
          <w:numId w:val="5"/>
        </w:numPr>
      </w:pPr>
      <w:r>
        <w:t>Papir i karton</w:t>
      </w:r>
      <w:r w:rsidR="007F7639" w:rsidRPr="007F7639">
        <w:t xml:space="preserve"> (</w:t>
      </w:r>
      <w:r w:rsidR="007F7639">
        <w:t>plavi</w:t>
      </w:r>
      <w:r w:rsidR="007F7639" w:rsidRPr="007F7639">
        <w:t xml:space="preserve"> spremnik)</w:t>
      </w:r>
    </w:p>
    <w:p w:rsidR="001C2FEB" w:rsidRDefault="001C2FEB" w:rsidP="001C2FEB">
      <w:pPr>
        <w:pStyle w:val="ListParagraph"/>
        <w:numPr>
          <w:ilvl w:val="0"/>
          <w:numId w:val="5"/>
        </w:numPr>
      </w:pPr>
      <w:r>
        <w:t>Plastiku</w:t>
      </w:r>
      <w:r w:rsidR="007F7639" w:rsidRPr="007F7639">
        <w:t xml:space="preserve"> (</w:t>
      </w:r>
      <w:r w:rsidR="007F7639">
        <w:t>žuti</w:t>
      </w:r>
      <w:r w:rsidR="007F7639" w:rsidRPr="007F7639">
        <w:t xml:space="preserve"> spremnik)</w:t>
      </w:r>
    </w:p>
    <w:p w:rsidR="001C2FEB" w:rsidRDefault="001C2FEB" w:rsidP="001C2FEB">
      <w:pPr>
        <w:pStyle w:val="ListParagraph"/>
        <w:numPr>
          <w:ilvl w:val="0"/>
          <w:numId w:val="5"/>
        </w:numPr>
      </w:pPr>
      <w:r>
        <w:t>Staklo</w:t>
      </w:r>
      <w:r w:rsidR="007F7639" w:rsidRPr="007F7639">
        <w:t xml:space="preserve"> (</w:t>
      </w:r>
      <w:r w:rsidR="007F7639">
        <w:t>zelena vreća</w:t>
      </w:r>
      <w:r w:rsidR="007F7639" w:rsidRPr="007F7639">
        <w:t>)</w:t>
      </w:r>
    </w:p>
    <w:p w:rsidR="001C2FEB" w:rsidRDefault="001C2FEB" w:rsidP="001C2FEB">
      <w:pPr>
        <w:pStyle w:val="ListParagraph"/>
        <w:numPr>
          <w:ilvl w:val="0"/>
          <w:numId w:val="5"/>
        </w:numPr>
      </w:pPr>
      <w:r>
        <w:t>Tekstil</w:t>
      </w:r>
      <w:r w:rsidR="007F7639" w:rsidRPr="007F7639">
        <w:t xml:space="preserve"> (</w:t>
      </w:r>
      <w:r w:rsidR="007F7639">
        <w:t>smeđa</w:t>
      </w:r>
      <w:r w:rsidR="007F7639" w:rsidRPr="007F7639">
        <w:t xml:space="preserve"> </w:t>
      </w:r>
      <w:r w:rsidR="007F7639">
        <w:t>vreća</w:t>
      </w:r>
      <w:r w:rsidR="007F7639" w:rsidRPr="007F7639">
        <w:t>)</w:t>
      </w:r>
    </w:p>
    <w:p w:rsidR="001C2FEB" w:rsidRDefault="001C2FEB" w:rsidP="001C2FEB">
      <w:pPr>
        <w:pStyle w:val="ListParagraph"/>
        <w:numPr>
          <w:ilvl w:val="0"/>
          <w:numId w:val="5"/>
        </w:numPr>
      </w:pPr>
      <w:r>
        <w:t>Metale</w:t>
      </w:r>
      <w:r w:rsidR="007F7639" w:rsidRPr="007F7639">
        <w:t xml:space="preserve"> (</w:t>
      </w:r>
      <w:r w:rsidR="007F7639">
        <w:t>siva vreća</w:t>
      </w:r>
      <w:r w:rsidR="007F7639" w:rsidRPr="007F7639">
        <w:t>)</w:t>
      </w:r>
    </w:p>
    <w:p w:rsidR="00336941" w:rsidRDefault="00336941" w:rsidP="00A96EEE"/>
    <w:p w:rsidR="0074661D" w:rsidRPr="0074661D" w:rsidRDefault="0074661D" w:rsidP="0074661D">
      <w:pPr>
        <w:jc w:val="center"/>
        <w:rPr>
          <w:b/>
        </w:rPr>
      </w:pPr>
      <w:r w:rsidRPr="0074661D">
        <w:rPr>
          <w:b/>
        </w:rPr>
        <w:t>Rezultati projekta</w:t>
      </w:r>
    </w:p>
    <w:p w:rsidR="000B7B68" w:rsidRDefault="000B7B68" w:rsidP="000B7B68"/>
    <w:p w:rsidR="00336941" w:rsidRDefault="000B7B68" w:rsidP="00A96EEE">
      <w:r>
        <w:t xml:space="preserve">Građani su tijekom projekta bili educirani i poticani </w:t>
      </w:r>
      <w:r>
        <w:t xml:space="preserve">ka </w:t>
      </w:r>
      <w:r w:rsidRPr="00872EEE">
        <w:t>poveća</w:t>
      </w:r>
      <w:r>
        <w:t xml:space="preserve">nju </w:t>
      </w:r>
      <w:r w:rsidRPr="00872EEE">
        <w:t>stop</w:t>
      </w:r>
      <w:r>
        <w:t>e</w:t>
      </w:r>
      <w:r w:rsidRPr="00872EEE">
        <w:t xml:space="preserve"> odvojenog komunalnog otpada</w:t>
      </w:r>
      <w:r>
        <w:t xml:space="preserve"> r</w:t>
      </w:r>
      <w:r>
        <w:t xml:space="preserve">azličitim </w:t>
      </w:r>
      <w:r w:rsidRPr="000B7B68">
        <w:t>izobrazno-informativnim aktivnostima</w:t>
      </w:r>
      <w:r w:rsidRPr="00872EEE">
        <w:t xml:space="preserve">, </w:t>
      </w:r>
      <w:r>
        <w:t xml:space="preserve">čime se utjecalo </w:t>
      </w:r>
      <w:r w:rsidRPr="00872EEE">
        <w:t xml:space="preserve">na smanjenje količine otpada koji se odlaže na odlagališta te </w:t>
      </w:r>
      <w:r>
        <w:t xml:space="preserve">navelo k usvajanju novih navika </w:t>
      </w:r>
      <w:r w:rsidRPr="00872EEE">
        <w:t>kod gospodarenja otpadom.</w:t>
      </w:r>
      <w:r>
        <w:t xml:space="preserve"> Projekt je time obuhvatio najmanje </w:t>
      </w:r>
      <w:r w:rsidR="00336941" w:rsidRPr="00336941">
        <w:t>97% stanovništva</w:t>
      </w:r>
      <w:r w:rsidR="00336941">
        <w:t>.</w:t>
      </w:r>
    </w:p>
    <w:p w:rsidR="000B7B68" w:rsidRDefault="000B7B68" w:rsidP="00A96EEE">
      <w:r>
        <w:t xml:space="preserve">U sklopu projekta bilo je osmišljeno, nabavljeno, izrađeno i </w:t>
      </w:r>
      <w:r w:rsidR="009448CC">
        <w:t xml:space="preserve">kroz različite akcije </w:t>
      </w:r>
      <w:r>
        <w:t xml:space="preserve">podijeljeno mnoštvo informativno – </w:t>
      </w:r>
      <w:proofErr w:type="spellStart"/>
      <w:r>
        <w:t>izobraznog</w:t>
      </w:r>
      <w:proofErr w:type="spellEnd"/>
      <w:r>
        <w:t xml:space="preserve"> materijala:</w:t>
      </w:r>
    </w:p>
    <w:p w:rsidR="00A218ED" w:rsidRDefault="00A218ED" w:rsidP="00A218ED">
      <w:pPr>
        <w:pStyle w:val="ListParagraph"/>
        <w:numPr>
          <w:ilvl w:val="0"/>
          <w:numId w:val="1"/>
        </w:numPr>
      </w:pPr>
      <w:r w:rsidRPr="005E7415">
        <w:t xml:space="preserve">Letak </w:t>
      </w:r>
      <w:r>
        <w:t xml:space="preserve">za </w:t>
      </w:r>
      <w:r w:rsidRPr="005E7415">
        <w:t>domać</w:t>
      </w:r>
      <w:r>
        <w:t xml:space="preserve">e stanovništvo </w:t>
      </w:r>
      <w:r w:rsidRPr="005E7415">
        <w:t>s uputama o razvrstavanju otpada</w:t>
      </w:r>
      <w:r>
        <w:t>, 128.000</w:t>
      </w:r>
      <w:r w:rsidRPr="000B7B68">
        <w:t xml:space="preserve"> </w:t>
      </w:r>
      <w:r>
        <w:t>komada</w:t>
      </w:r>
    </w:p>
    <w:p w:rsidR="000B7B68" w:rsidRDefault="000B7B68" w:rsidP="000B7B68">
      <w:pPr>
        <w:pStyle w:val="ListParagraph"/>
        <w:numPr>
          <w:ilvl w:val="0"/>
          <w:numId w:val="1"/>
        </w:numPr>
      </w:pPr>
      <w:r w:rsidRPr="005E7415">
        <w:t>Brošura o sprječavanju nastanka i razvrstavanju otpada</w:t>
      </w:r>
      <w:r>
        <w:t xml:space="preserve">, </w:t>
      </w:r>
      <w:r>
        <w:t>28.250</w:t>
      </w:r>
      <w:r>
        <w:t xml:space="preserve"> komada</w:t>
      </w:r>
    </w:p>
    <w:p w:rsidR="000B7B68" w:rsidRDefault="000B7B68" w:rsidP="007F1727">
      <w:pPr>
        <w:pStyle w:val="ListParagraph"/>
        <w:numPr>
          <w:ilvl w:val="0"/>
          <w:numId w:val="1"/>
        </w:numPr>
      </w:pPr>
      <w:r w:rsidRPr="005E7415">
        <w:t xml:space="preserve">Letak </w:t>
      </w:r>
      <w:r>
        <w:t xml:space="preserve">za strane turiste </w:t>
      </w:r>
      <w:r w:rsidRPr="005E7415">
        <w:t>s uputama o razvrstavanju otpada</w:t>
      </w:r>
      <w:r>
        <w:t xml:space="preserve"> na četiri jezika (EN, DE, IT, FR)</w:t>
      </w:r>
      <w:r>
        <w:t xml:space="preserve">, </w:t>
      </w:r>
      <w:r>
        <w:t>30.000</w:t>
      </w:r>
      <w:r w:rsidRPr="000B7B68">
        <w:t xml:space="preserve"> </w:t>
      </w:r>
      <w:r>
        <w:t>komada</w:t>
      </w:r>
    </w:p>
    <w:p w:rsidR="00A218ED" w:rsidRDefault="00A218ED" w:rsidP="00A218ED">
      <w:r>
        <w:t>Letci i brošure građanima su bili dostavljeni u nekoliko ciklusa tijekom redovite dostave mjesečnih računa za odvoz otpada.</w:t>
      </w:r>
      <w:r>
        <w:t xml:space="preserve"> Letke za strane turiste preuzele su turističke zajednice i jedinice lokalne samouprave.</w:t>
      </w:r>
    </w:p>
    <w:p w:rsidR="00A218ED" w:rsidRDefault="00A218ED" w:rsidP="00A218ED">
      <w:pPr>
        <w:pStyle w:val="ListParagraph"/>
        <w:numPr>
          <w:ilvl w:val="0"/>
          <w:numId w:val="1"/>
        </w:numPr>
      </w:pPr>
      <w:r w:rsidRPr="005E7415">
        <w:t>Plakat o sprječavanju nastanka i razvrstavanju otpada</w:t>
      </w:r>
      <w:r>
        <w:t>, 6.000</w:t>
      </w:r>
      <w:r w:rsidRPr="000B7B68">
        <w:t xml:space="preserve"> </w:t>
      </w:r>
      <w:r>
        <w:t>komada</w:t>
      </w:r>
    </w:p>
    <w:p w:rsidR="00A218ED" w:rsidRDefault="00A218ED" w:rsidP="00A218ED">
      <w:r>
        <w:t>Plakati s detaljnim informacijama o razdvajanju otpada su postavljeni na sva vidljiva mjesta na području obuhvata projekta, u svim školama i vrtićima.</w:t>
      </w:r>
    </w:p>
    <w:p w:rsidR="000B7B68" w:rsidRDefault="000B7B68" w:rsidP="001A40A6">
      <w:pPr>
        <w:pStyle w:val="ListParagraph"/>
        <w:numPr>
          <w:ilvl w:val="0"/>
          <w:numId w:val="1"/>
        </w:numPr>
      </w:pPr>
      <w:r w:rsidRPr="005E7415">
        <w:t>Bojanka o razvrstavanju otpada za djecu predškolske dobi</w:t>
      </w:r>
      <w:r>
        <w:t xml:space="preserve">, </w:t>
      </w:r>
      <w:r>
        <w:t>5.500</w:t>
      </w:r>
      <w:r w:rsidRPr="000B7B68">
        <w:t xml:space="preserve"> </w:t>
      </w:r>
      <w:r>
        <w:t>komada</w:t>
      </w:r>
    </w:p>
    <w:p w:rsidR="00A218ED" w:rsidRDefault="00A218ED" w:rsidP="00A218ED">
      <w:r>
        <w:t>Bojanke su bile podijeljene svoj djecu predškolskog uzrasta u 30 dječjih vrtića.</w:t>
      </w:r>
    </w:p>
    <w:p w:rsidR="000B7B68" w:rsidRDefault="000B7B68" w:rsidP="000B7B68">
      <w:pPr>
        <w:pStyle w:val="ListParagraph"/>
        <w:numPr>
          <w:ilvl w:val="0"/>
          <w:numId w:val="1"/>
        </w:numPr>
      </w:pPr>
      <w:r w:rsidRPr="005E7415">
        <w:t>Letak s uputama o razvrstavanju otpada</w:t>
      </w:r>
      <w:r>
        <w:t xml:space="preserve">, </w:t>
      </w:r>
      <w:r w:rsidRPr="005E7415">
        <w:t xml:space="preserve">prilagođen </w:t>
      </w:r>
      <w:r>
        <w:t xml:space="preserve">djeci </w:t>
      </w:r>
      <w:r w:rsidRPr="005E7415">
        <w:t>s posebnim potrebama</w:t>
      </w:r>
      <w:r w:rsidR="009448CC">
        <w:t>, 100 komada</w:t>
      </w:r>
    </w:p>
    <w:p w:rsidR="00A218ED" w:rsidRDefault="00A218ED" w:rsidP="00A218ED">
      <w:pPr>
        <w:pStyle w:val="ListParagraph"/>
        <w:numPr>
          <w:ilvl w:val="0"/>
          <w:numId w:val="1"/>
        </w:numPr>
      </w:pPr>
      <w:r>
        <w:t xml:space="preserve">Letak na </w:t>
      </w:r>
      <w:proofErr w:type="spellStart"/>
      <w:r>
        <w:t>Braillovom</w:t>
      </w:r>
      <w:proofErr w:type="spellEnd"/>
      <w:r>
        <w:t xml:space="preserve"> pismu, 400 komada</w:t>
      </w:r>
      <w:r>
        <w:t xml:space="preserve"> </w:t>
      </w:r>
    </w:p>
    <w:p w:rsidR="00A218ED" w:rsidRDefault="00A218ED" w:rsidP="00A218ED">
      <w:r>
        <w:t xml:space="preserve">Letak </w:t>
      </w:r>
      <w:r>
        <w:t xml:space="preserve">je podijeljen uz pomoć lokalnih udruga </w:t>
      </w:r>
      <w:r w:rsidRPr="005E7415">
        <w:t>slijep</w:t>
      </w:r>
      <w:r>
        <w:t>ih</w:t>
      </w:r>
      <w:r w:rsidRPr="005E7415">
        <w:t xml:space="preserve"> i slabovidn</w:t>
      </w:r>
      <w:r>
        <w:t>ih</w:t>
      </w:r>
      <w:r w:rsidRPr="005E7415">
        <w:t xml:space="preserve"> osob</w:t>
      </w:r>
      <w:r>
        <w:t>a</w:t>
      </w:r>
      <w:r>
        <w:t>.</w:t>
      </w:r>
    </w:p>
    <w:p w:rsidR="00464E1B" w:rsidRDefault="00464E1B" w:rsidP="00464E1B">
      <w:pPr>
        <w:pStyle w:val="ListParagraph"/>
        <w:numPr>
          <w:ilvl w:val="0"/>
          <w:numId w:val="3"/>
        </w:numPr>
      </w:pPr>
      <w:r>
        <w:t>Naljepnice za strane turiste za označavanje spremnika za različite vrste otpada, 3.000 komada</w:t>
      </w:r>
    </w:p>
    <w:p w:rsidR="00464E1B" w:rsidRDefault="00464E1B" w:rsidP="00464E1B">
      <w:pPr>
        <w:pStyle w:val="ListParagraph"/>
        <w:numPr>
          <w:ilvl w:val="0"/>
          <w:numId w:val="1"/>
        </w:numPr>
      </w:pPr>
      <w:r>
        <w:t>Kišobrani za djecu s elementima vidljivosti, 6.000</w:t>
      </w:r>
      <w:r w:rsidRPr="00464E1B">
        <w:t xml:space="preserve"> </w:t>
      </w:r>
      <w:r>
        <w:t>komada</w:t>
      </w:r>
    </w:p>
    <w:p w:rsidR="00464E1B" w:rsidRDefault="00464E1B" w:rsidP="00464E1B">
      <w:pPr>
        <w:pStyle w:val="ListParagraph"/>
        <w:numPr>
          <w:ilvl w:val="0"/>
          <w:numId w:val="1"/>
        </w:numPr>
      </w:pPr>
      <w:r>
        <w:t>Kišobrani za odrasle osobe s elementima vidljivosti, 6.500</w:t>
      </w:r>
      <w:r w:rsidRPr="00464E1B">
        <w:t xml:space="preserve"> </w:t>
      </w:r>
      <w:r>
        <w:t>komada</w:t>
      </w:r>
    </w:p>
    <w:p w:rsidR="00464E1B" w:rsidRDefault="00464E1B" w:rsidP="00464E1B">
      <w:r>
        <w:t>Kišobrani su podijeljeni učenicima osnovnih škola na provedenim</w:t>
      </w:r>
      <w:r>
        <w:t xml:space="preserve"> školskim natjecanjima</w:t>
      </w:r>
      <w:r>
        <w:t>, a odraslima na tribinama i kao nagrade onim kućanstvima koja su prema podacima komunalnih poduzeća bila najuspješnija u razdvajanju otpada na području projekta.</w:t>
      </w:r>
    </w:p>
    <w:p w:rsidR="00192627" w:rsidRDefault="00192627" w:rsidP="00A96EEE"/>
    <w:p w:rsidR="00464E1B" w:rsidRDefault="00464E1B" w:rsidP="00464E1B">
      <w:r>
        <w:t xml:space="preserve">Pored svega toga, dječjim vrtićima je u edukativne svrhe nabavljeno i podijeljeno 240 društvenih igara s tematikom razvrstavanja otpada, ekologije, kulture ponašanja i brige o okolišu. </w:t>
      </w:r>
    </w:p>
    <w:p w:rsidR="00660DAD" w:rsidRDefault="00660DAD" w:rsidP="005E7415"/>
    <w:p w:rsidR="00326474" w:rsidRDefault="00326474" w:rsidP="005E7415">
      <w:r>
        <w:t>Provedeno je i mnoštvo događaja na kojima su podijeljeni izobrazno – informativni materijali:</w:t>
      </w:r>
    </w:p>
    <w:p w:rsidR="003B0019" w:rsidRDefault="003B0019" w:rsidP="006A74C4">
      <w:pPr>
        <w:pStyle w:val="ListParagraph"/>
        <w:numPr>
          <w:ilvl w:val="0"/>
          <w:numId w:val="3"/>
        </w:numPr>
      </w:pPr>
      <w:r>
        <w:t xml:space="preserve">Provedeno </w:t>
      </w:r>
      <w:r w:rsidR="00326474">
        <w:t xml:space="preserve">je </w:t>
      </w:r>
      <w:r>
        <w:t xml:space="preserve">15 javnih tribina vezano za održivo gospodarenje otpadom na području Varaždinske </w:t>
      </w:r>
      <w:r w:rsidR="007B33A4">
        <w:t>(13</w:t>
      </w:r>
      <w:r w:rsidR="005B0C8F">
        <w:t xml:space="preserve"> tribina</w:t>
      </w:r>
      <w:r w:rsidR="007B33A4">
        <w:t xml:space="preserve">) </w:t>
      </w:r>
      <w:r>
        <w:t>i Šibensko-kninske županije (</w:t>
      </w:r>
      <w:r w:rsidR="007B33A4">
        <w:t>2</w:t>
      </w:r>
      <w:r w:rsidR="005B0C8F">
        <w:t xml:space="preserve"> tribine</w:t>
      </w:r>
      <w:r w:rsidR="007B33A4">
        <w:t>)</w:t>
      </w:r>
      <w:r>
        <w:t xml:space="preserve"> u grad</w:t>
      </w:r>
      <w:r w:rsidR="007B33A4">
        <w:t>ovima i općinama partnerima.</w:t>
      </w:r>
    </w:p>
    <w:p w:rsidR="003B0019" w:rsidRDefault="003B0019" w:rsidP="006A74C4">
      <w:pPr>
        <w:pStyle w:val="ListParagraph"/>
        <w:numPr>
          <w:ilvl w:val="0"/>
          <w:numId w:val="3"/>
        </w:numPr>
      </w:pPr>
      <w:r>
        <w:t xml:space="preserve">Provedeno </w:t>
      </w:r>
      <w:r w:rsidR="00326474">
        <w:t xml:space="preserve">je </w:t>
      </w:r>
      <w:r>
        <w:t xml:space="preserve">30 interaktivnih radionica o </w:t>
      </w:r>
      <w:r w:rsidR="00332559">
        <w:t>razvrstavanju</w:t>
      </w:r>
      <w:r>
        <w:t xml:space="preserve"> otpad</w:t>
      </w:r>
      <w:r w:rsidR="00332559">
        <w:t>a</w:t>
      </w:r>
      <w:r>
        <w:t xml:space="preserve"> u </w:t>
      </w:r>
      <w:r w:rsidR="007B33A4">
        <w:t xml:space="preserve">ukupno 28 objekata dječjih </w:t>
      </w:r>
      <w:r>
        <w:t>vrtić</w:t>
      </w:r>
      <w:r w:rsidR="007B33A4">
        <w:t xml:space="preserve">a </w:t>
      </w:r>
      <w:r>
        <w:t xml:space="preserve">na području Varaždinske </w:t>
      </w:r>
      <w:r w:rsidR="007B33A4">
        <w:t>(26 radionic</w:t>
      </w:r>
      <w:r w:rsidR="005B0C8F">
        <w:t>a</w:t>
      </w:r>
      <w:r w:rsidR="007B33A4">
        <w:t xml:space="preserve">) </w:t>
      </w:r>
      <w:r>
        <w:t>i Šibensko-kninske županije</w:t>
      </w:r>
      <w:r w:rsidR="007B33A4">
        <w:t xml:space="preserve"> (4 radionice).</w:t>
      </w:r>
      <w:r w:rsidR="00E92FD6">
        <w:t xml:space="preserve"> Radionice </w:t>
      </w:r>
      <w:r w:rsidR="0021414A">
        <w:t>je</w:t>
      </w:r>
      <w:r w:rsidR="00E92FD6">
        <w:t xml:space="preserve"> pripremi</w:t>
      </w:r>
      <w:r w:rsidR="0021414A">
        <w:t>o</w:t>
      </w:r>
      <w:r w:rsidR="00E92FD6">
        <w:t xml:space="preserve"> i vodi</w:t>
      </w:r>
      <w:r w:rsidR="0021414A">
        <w:t>o</w:t>
      </w:r>
      <w:r w:rsidR="00E92FD6">
        <w:t xml:space="preserve"> stručnja</w:t>
      </w:r>
      <w:r w:rsidR="0021414A">
        <w:t>k</w:t>
      </w:r>
      <w:r w:rsidR="00E92FD6">
        <w:t xml:space="preserve"> </w:t>
      </w:r>
      <w:r w:rsidR="00E92FD6" w:rsidRPr="00E92FD6">
        <w:t xml:space="preserve">osposobljen za rad s djecom </w:t>
      </w:r>
      <w:r w:rsidR="00B70D1F">
        <w:t xml:space="preserve">predškolske dobi na takav način da </w:t>
      </w:r>
      <w:r w:rsidR="0021414A">
        <w:t>je</w:t>
      </w:r>
      <w:r w:rsidR="00B70D1F">
        <w:t xml:space="preserve"> djeci u obliku igre prenijeli osnovna znanja i informacije, a potom je na svakoj radionici uslijedila završna igra u formi kviza.</w:t>
      </w:r>
    </w:p>
    <w:p w:rsidR="0021414A" w:rsidRDefault="003B0019" w:rsidP="006A74C4">
      <w:pPr>
        <w:pStyle w:val="ListParagraph"/>
        <w:numPr>
          <w:ilvl w:val="0"/>
          <w:numId w:val="3"/>
        </w:numPr>
      </w:pPr>
      <w:r>
        <w:t>Proveden</w:t>
      </w:r>
      <w:r w:rsidR="00326474">
        <w:t>a</w:t>
      </w:r>
      <w:r>
        <w:t xml:space="preserve"> </w:t>
      </w:r>
      <w:r w:rsidR="00332559">
        <w:t xml:space="preserve">su natjecanja </w:t>
      </w:r>
      <w:r w:rsidR="00332559">
        <w:t xml:space="preserve">o održivom gospodarenju otpadom </w:t>
      </w:r>
      <w:r w:rsidR="00332559">
        <w:t xml:space="preserve">u 15 osnovnih škola </w:t>
      </w:r>
      <w:r>
        <w:t xml:space="preserve">na području Varaždinske </w:t>
      </w:r>
      <w:r w:rsidR="00332559">
        <w:t xml:space="preserve">(14 škola) </w:t>
      </w:r>
      <w:r>
        <w:t>i Šibensko-kninske županije</w:t>
      </w:r>
      <w:r w:rsidR="00332559">
        <w:t xml:space="preserve"> (1 škola).</w:t>
      </w:r>
      <w:r w:rsidR="0021414A" w:rsidRPr="0021414A">
        <w:t xml:space="preserve"> </w:t>
      </w:r>
      <w:r w:rsidR="0021414A">
        <w:t xml:space="preserve">Radionice je pripremio i vodio stručnjak </w:t>
      </w:r>
      <w:r w:rsidR="0021414A" w:rsidRPr="00E92FD6">
        <w:t xml:space="preserve">osposobljen za rad s </w:t>
      </w:r>
      <w:r w:rsidR="0021414A">
        <w:t>učenicima, pri čemu su učenici morali proučiti pravila razvrstavanja otpada, nakon čega je održano natjecanje iz znanja i brzog razvrstavanja otpada.</w:t>
      </w:r>
    </w:p>
    <w:p w:rsidR="00E2435F" w:rsidRDefault="003B0019" w:rsidP="006A74C4">
      <w:pPr>
        <w:pStyle w:val="ListParagraph"/>
        <w:numPr>
          <w:ilvl w:val="0"/>
          <w:numId w:val="3"/>
        </w:numPr>
      </w:pPr>
      <w:r>
        <w:t xml:space="preserve">Provedena </w:t>
      </w:r>
      <w:r w:rsidR="00326474">
        <w:t xml:space="preserve">su </w:t>
      </w:r>
      <w:r>
        <w:t xml:space="preserve">3 </w:t>
      </w:r>
      <w:r w:rsidR="00326474">
        <w:t xml:space="preserve">različita tipa </w:t>
      </w:r>
      <w:r>
        <w:t xml:space="preserve">natjecanja </w:t>
      </w:r>
      <w:r w:rsidR="00326474">
        <w:t xml:space="preserve">među stanovništvom te su kućanstvima koja su </w:t>
      </w:r>
      <w:r w:rsidR="00326474">
        <w:t>proizvela najmanje miješanog komunalnog otpada i time najviše doprinijela uspješnom razvrstavanju otpada</w:t>
      </w:r>
      <w:r w:rsidR="00326474">
        <w:t xml:space="preserve"> </w:t>
      </w:r>
      <w:r w:rsidR="00326474">
        <w:t xml:space="preserve">za nagradu </w:t>
      </w:r>
      <w:r w:rsidR="00326474">
        <w:t xml:space="preserve">podijeljeni </w:t>
      </w:r>
      <w:r w:rsidR="00326474">
        <w:t>kišobran</w:t>
      </w:r>
      <w:r w:rsidR="00326474">
        <w:t>i</w:t>
      </w:r>
      <w:r w:rsidR="00326474">
        <w:t xml:space="preserve"> s logotipom projekta PROMO</w:t>
      </w:r>
      <w:r w:rsidR="00326474">
        <w:t xml:space="preserve">. </w:t>
      </w:r>
      <w:r w:rsidR="00326474" w:rsidRPr="00326474">
        <w:t xml:space="preserve">Za sudjelovanje u natjecanju nije </w:t>
      </w:r>
      <w:r w:rsidR="00326474">
        <w:t xml:space="preserve">bila </w:t>
      </w:r>
      <w:r w:rsidR="00326474" w:rsidRPr="00326474">
        <w:lastRenderedPageBreak/>
        <w:t>potrebna prijava</w:t>
      </w:r>
      <w:r w:rsidR="00326474">
        <w:t xml:space="preserve"> već su kućanstva bila odabrana na </w:t>
      </w:r>
      <w:r w:rsidR="00326474" w:rsidRPr="00326474">
        <w:t>temelju službenih poda</w:t>
      </w:r>
      <w:r w:rsidR="00326474">
        <w:t xml:space="preserve">taka o količini predanog otpada. </w:t>
      </w:r>
      <w:r w:rsidR="00E2435F" w:rsidRPr="00E2435F">
        <w:t xml:space="preserve">Ovime </w:t>
      </w:r>
      <w:r w:rsidR="00326474">
        <w:t xml:space="preserve">smo željeli </w:t>
      </w:r>
      <w:r w:rsidR="00E2435F" w:rsidRPr="00E2435F">
        <w:t>zahvaliti građanima koji su primarnom selekcijom na kućnom pragu uložili najviše vlastitog truda i bitno doprinijeli rezultatima cijelog sustava gospodarenja otpadom.</w:t>
      </w:r>
    </w:p>
    <w:p w:rsidR="00666210" w:rsidRDefault="00666210" w:rsidP="003B0019"/>
    <w:p w:rsidR="00464E1B" w:rsidRDefault="00464E1B" w:rsidP="003B0019">
      <w:r w:rsidRPr="00464E1B">
        <w:t>Budući da je u projektu sudjelovao i Grad Vodice, na čijem se području otpad razvrstava na nešto drugačiji način, svi promidžbeni i informativni materijali bili su izrađeni i u varijanti koja je prilagođena za to područje.</w:t>
      </w:r>
    </w:p>
    <w:p w:rsidR="00464E1B" w:rsidRDefault="00464E1B" w:rsidP="003B0019"/>
    <w:p w:rsidR="00464E1B" w:rsidRDefault="00464E1B" w:rsidP="00464E1B">
      <w:r>
        <w:t>U sklopu projekta do građana se doprlo i kroz različite medije. Z</w:t>
      </w:r>
      <w:r w:rsidRPr="00A218ED">
        <w:t xml:space="preserve">a svako od dva geografska područja projekta </w:t>
      </w:r>
      <w:r>
        <w:t xml:space="preserve">emitirano je </w:t>
      </w:r>
      <w:r w:rsidRPr="00A218ED">
        <w:t xml:space="preserve">po šest snimljenih radijskih emisija </w:t>
      </w:r>
      <w:r>
        <w:t xml:space="preserve">i </w:t>
      </w:r>
      <w:r w:rsidRPr="00A218ED">
        <w:t xml:space="preserve">po tri televizijske </w:t>
      </w:r>
      <w:r>
        <w:t xml:space="preserve">emisije o gospodarenju otpadom. </w:t>
      </w:r>
      <w:r w:rsidRPr="00464E1B">
        <w:t>Kroz cijelo trajanje projekta redovito su objavljivani i edukativni oglasi o razvrstavanju otpada u lokalnim tiskovinama i na lokalnim Internet portalima.</w:t>
      </w:r>
    </w:p>
    <w:p w:rsidR="00464E1B" w:rsidRDefault="00464E1B" w:rsidP="00464E1B">
      <w:r>
        <w:t xml:space="preserve">Izrađena je i Internet stranica projekta PROMO </w:t>
      </w:r>
      <w:hyperlink r:id="rId18" w:history="1">
        <w:r w:rsidRPr="00BE517D">
          <w:rPr>
            <w:rStyle w:val="Hyperlink"/>
          </w:rPr>
          <w:t>https://varazdin.hr/promo/</w:t>
        </w:r>
      </w:hyperlink>
      <w:r>
        <w:t xml:space="preserve"> koja građanima, djeci i učenicima nudi sve potrebne informacije o razdvajanju otpada. Na stranici se mogu pronaći jednostavne i precizne upute o tome koji otpad se odlaže u koji spremnik. Isto tako moguće je preuzeti sve tiskane sadržaje u elektronskom obliku koji sadrže cjelovite informacije o razdvajanju otpada:</w:t>
      </w:r>
    </w:p>
    <w:p w:rsidR="00464E1B" w:rsidRDefault="00464E1B" w:rsidP="00464E1B">
      <w:pPr>
        <w:pStyle w:val="ListParagraph"/>
        <w:numPr>
          <w:ilvl w:val="0"/>
          <w:numId w:val="1"/>
        </w:numPr>
      </w:pPr>
      <w:r w:rsidRPr="005E7415">
        <w:t>Brošura o sprječavanju nastanka i razvrstavanju otpada</w:t>
      </w:r>
      <w:r>
        <w:t xml:space="preserve"> </w:t>
      </w:r>
    </w:p>
    <w:p w:rsidR="00464E1B" w:rsidRDefault="00464E1B" w:rsidP="00464E1B">
      <w:pPr>
        <w:pStyle w:val="ListParagraph"/>
        <w:numPr>
          <w:ilvl w:val="0"/>
          <w:numId w:val="1"/>
        </w:numPr>
      </w:pPr>
      <w:r w:rsidRPr="005E7415">
        <w:t xml:space="preserve">Letak </w:t>
      </w:r>
      <w:r>
        <w:t xml:space="preserve">za </w:t>
      </w:r>
      <w:r w:rsidRPr="005E7415">
        <w:t>domać</w:t>
      </w:r>
      <w:r>
        <w:t xml:space="preserve">e stanovništvo </w:t>
      </w:r>
      <w:r w:rsidRPr="005E7415">
        <w:t>s uputama o razvrstavanju otpada</w:t>
      </w:r>
    </w:p>
    <w:p w:rsidR="00464E1B" w:rsidRDefault="00464E1B" w:rsidP="00464E1B">
      <w:pPr>
        <w:pStyle w:val="ListParagraph"/>
        <w:numPr>
          <w:ilvl w:val="0"/>
          <w:numId w:val="1"/>
        </w:numPr>
      </w:pPr>
      <w:r w:rsidRPr="005E7415">
        <w:t xml:space="preserve">Letak </w:t>
      </w:r>
      <w:r>
        <w:t xml:space="preserve">za strane turiste </w:t>
      </w:r>
      <w:r w:rsidRPr="005E7415">
        <w:t>s uputama o razvrstavanju otpada</w:t>
      </w:r>
      <w:r>
        <w:t xml:space="preserve"> na četiri jezika (EN, DE, IT, FR) </w:t>
      </w:r>
    </w:p>
    <w:p w:rsidR="00464E1B" w:rsidRDefault="00464E1B" w:rsidP="00464E1B">
      <w:pPr>
        <w:pStyle w:val="ListParagraph"/>
        <w:numPr>
          <w:ilvl w:val="0"/>
          <w:numId w:val="1"/>
        </w:numPr>
      </w:pPr>
      <w:r w:rsidRPr="005E7415">
        <w:t>Bojanka o razvrstavanju otpada za djecu predškolske dobi</w:t>
      </w:r>
    </w:p>
    <w:p w:rsidR="00464E1B" w:rsidRDefault="00464E1B" w:rsidP="00464E1B">
      <w:pPr>
        <w:pStyle w:val="ListParagraph"/>
        <w:numPr>
          <w:ilvl w:val="0"/>
          <w:numId w:val="1"/>
        </w:numPr>
      </w:pPr>
      <w:r w:rsidRPr="005E7415">
        <w:t>Letak s uputama o razvrstavanju otpada</w:t>
      </w:r>
      <w:r>
        <w:t xml:space="preserve">, </w:t>
      </w:r>
      <w:r w:rsidRPr="005E7415">
        <w:t xml:space="preserve">prilagođen </w:t>
      </w:r>
      <w:r>
        <w:t xml:space="preserve">djeci </w:t>
      </w:r>
      <w:r w:rsidRPr="005E7415">
        <w:t>s posebnim potrebama</w:t>
      </w:r>
    </w:p>
    <w:p w:rsidR="00464E1B" w:rsidRDefault="00464E1B" w:rsidP="00464E1B">
      <w:pPr>
        <w:pStyle w:val="ListParagraph"/>
        <w:numPr>
          <w:ilvl w:val="0"/>
          <w:numId w:val="1"/>
        </w:numPr>
      </w:pPr>
      <w:r w:rsidRPr="005E7415">
        <w:t>Plakat o sprječavanju nastanka i razvrstavanju otpada</w:t>
      </w:r>
    </w:p>
    <w:p w:rsidR="00464E1B" w:rsidRDefault="00464E1B" w:rsidP="00464E1B">
      <w:pPr>
        <w:pStyle w:val="ListParagraph"/>
        <w:numPr>
          <w:ilvl w:val="0"/>
          <w:numId w:val="1"/>
        </w:numPr>
      </w:pPr>
      <w:r>
        <w:t xml:space="preserve">Svi koje zanima nešto više o gospodarenju otpadom mogu na stranici projekta snimljene radijske emisije ili pogledati televizijske snimke, u kojima će im stručnjaci iz područja </w:t>
      </w:r>
      <w:r w:rsidRPr="00E915C3">
        <w:t>gospodarenj</w:t>
      </w:r>
      <w:r>
        <w:t>a</w:t>
      </w:r>
      <w:r w:rsidRPr="00E915C3">
        <w:t xml:space="preserve"> otpadom</w:t>
      </w:r>
      <w:r>
        <w:t xml:space="preserve"> na jednostavan način približiti ovu tematiku. </w:t>
      </w:r>
    </w:p>
    <w:p w:rsidR="00464E1B" w:rsidRDefault="00464E1B" w:rsidP="00464E1B">
      <w:pPr>
        <w:pStyle w:val="ListParagraph"/>
        <w:numPr>
          <w:ilvl w:val="1"/>
          <w:numId w:val="1"/>
        </w:numPr>
      </w:pPr>
      <w:r>
        <w:t>Vrijedi napomenuti da u svim televizijskim emisijama sudjeluje i tumač znakovnog jezika za gluhe osobe.</w:t>
      </w:r>
    </w:p>
    <w:p w:rsidR="00464E1B" w:rsidRDefault="00464E1B" w:rsidP="00464E1B"/>
    <w:p w:rsidR="00526C74" w:rsidRPr="00743802" w:rsidRDefault="00526C74" w:rsidP="00090FF4">
      <w:pPr>
        <w:jc w:val="center"/>
        <w:rPr>
          <w:b/>
        </w:rPr>
      </w:pPr>
      <w:r w:rsidRPr="00743802">
        <w:rPr>
          <w:b/>
        </w:rPr>
        <w:t>Identifikacijski podaci projekt</w:t>
      </w:r>
      <w:r w:rsidR="00090FF4">
        <w:rPr>
          <w:b/>
        </w:rPr>
        <w:t>a</w:t>
      </w:r>
    </w:p>
    <w:p w:rsidR="00526C74" w:rsidRDefault="00526C74" w:rsidP="00A96EEE">
      <w:r w:rsidRPr="00526C74">
        <w:t>Naziv projekta</w:t>
      </w:r>
      <w:r>
        <w:t xml:space="preserve">: </w:t>
      </w:r>
      <w:r w:rsidRPr="00526C74">
        <w:t>PRavilnim primjerOM učimo zaštititi okOliš - PROMO</w:t>
      </w:r>
    </w:p>
    <w:p w:rsidR="00687984" w:rsidRDefault="00687984" w:rsidP="00687984">
      <w:r w:rsidRPr="00526C74">
        <w:t>Vodeći partner</w:t>
      </w:r>
      <w:r>
        <w:t xml:space="preserve"> i nositelj projekta: </w:t>
      </w:r>
      <w:r w:rsidRPr="00526C74">
        <w:t>Grad Varaždin</w:t>
      </w:r>
    </w:p>
    <w:p w:rsidR="00687984" w:rsidRDefault="00687984" w:rsidP="00526C74">
      <w:r>
        <w:t xml:space="preserve">Partneri na projektu: </w:t>
      </w:r>
      <w:r w:rsidRPr="00526C74">
        <w:t>Grad Varaždinske Toplice</w:t>
      </w:r>
      <w:r>
        <w:t xml:space="preserve">, </w:t>
      </w:r>
      <w:r w:rsidRPr="00526C74">
        <w:t>Grad Vodice</w:t>
      </w:r>
      <w:r>
        <w:t xml:space="preserve">, </w:t>
      </w:r>
      <w:r w:rsidRPr="00526C74">
        <w:t>Općina Mali Bukovec</w:t>
      </w:r>
      <w:r>
        <w:t xml:space="preserve">, </w:t>
      </w:r>
      <w:r w:rsidRPr="00526C74">
        <w:t>Općina Sveti Đurđ</w:t>
      </w:r>
      <w:r>
        <w:t xml:space="preserve">, Općina Veliki Bukovec, </w:t>
      </w:r>
      <w:r w:rsidRPr="00526C74">
        <w:t>Općina Vidovec</w:t>
      </w:r>
    </w:p>
    <w:p w:rsidR="00526C74" w:rsidRDefault="00526C74" w:rsidP="00526C74">
      <w:r w:rsidRPr="00526C74">
        <w:t>Kod projekta</w:t>
      </w:r>
      <w:r>
        <w:t xml:space="preserve">: </w:t>
      </w:r>
      <w:r w:rsidRPr="00526C74">
        <w:t>KK.06.3.1.07.0055</w:t>
      </w:r>
    </w:p>
    <w:p w:rsidR="00526C74" w:rsidRDefault="00526C74" w:rsidP="00526C74">
      <w:r w:rsidRPr="00526C74">
        <w:t>Naziv poziva</w:t>
      </w:r>
      <w:r>
        <w:t xml:space="preserve"> u sklopu kojeg se projekt provodio: Provedba Programa izobrazno-informativnih aktivnosti o održivom gospodarenj</w:t>
      </w:r>
      <w:bookmarkStart w:id="0" w:name="_GoBack"/>
      <w:bookmarkEnd w:id="0"/>
      <w:r>
        <w:t>u otpadom</w:t>
      </w:r>
    </w:p>
    <w:p w:rsidR="00526C74" w:rsidRPr="00526C74" w:rsidRDefault="00526C74" w:rsidP="00A96EEE">
      <w:r w:rsidRPr="00526C74">
        <w:t>Naziv EU fonda/programa kroz koji je projekt sufinanciran</w:t>
      </w:r>
      <w:r>
        <w:t xml:space="preserve">: </w:t>
      </w:r>
      <w:r w:rsidRPr="00526C74">
        <w:t>Kohezijski fond</w:t>
      </w:r>
    </w:p>
    <w:p w:rsidR="00526C74" w:rsidRDefault="00526C74" w:rsidP="00526C74">
      <w:r>
        <w:t xml:space="preserve">Ukupna prijavljena vrijednost projekta: </w:t>
      </w:r>
      <w:r w:rsidRPr="00526C74">
        <w:t>1.200.000,00 HRK</w:t>
      </w:r>
    </w:p>
    <w:p w:rsidR="00526C74" w:rsidRDefault="00526C74" w:rsidP="00526C74">
      <w:r>
        <w:t>Stopa sufinanciranja: 85 %</w:t>
      </w:r>
    </w:p>
    <w:p w:rsidR="00526C74" w:rsidRDefault="00526C74" w:rsidP="00526C74">
      <w:r>
        <w:t>Ukupna realizirana vrijednost projekta (zbog javne nabave): 1.082.577,50</w:t>
      </w:r>
      <w:r w:rsidRPr="00526C74">
        <w:t xml:space="preserve"> HRK</w:t>
      </w:r>
    </w:p>
    <w:p w:rsidR="00526C74" w:rsidRDefault="00526C74" w:rsidP="00526C74">
      <w:r>
        <w:t xml:space="preserve">Trajanje projekta: </w:t>
      </w:r>
      <w:r w:rsidRPr="00526C74">
        <w:t>9. srpnja 2018. - 9. ožujka 2020.</w:t>
      </w:r>
      <w:r>
        <w:t xml:space="preserve"> (produženo do 10. kolovoza 2020. zbog situacije uzrokovane </w:t>
      </w:r>
      <w:proofErr w:type="spellStart"/>
      <w:r>
        <w:t>Covidom</w:t>
      </w:r>
      <w:proofErr w:type="spellEnd"/>
      <w:r>
        <w:t>-19)</w:t>
      </w:r>
      <w:r w:rsidR="00462CEC">
        <w:t>; sve aktivnosti na projektu, osim izvještavanja prema FZOEU, završene su s 9. ožujkom 2020.</w:t>
      </w:r>
    </w:p>
    <w:p w:rsidR="000D740A" w:rsidRDefault="000D740A" w:rsidP="00526C74">
      <w:r>
        <w:t xml:space="preserve">Internet stranica projekta: </w:t>
      </w:r>
      <w:hyperlink r:id="rId19" w:history="1">
        <w:r w:rsidRPr="00BE517D">
          <w:rPr>
            <w:rStyle w:val="Hyperlink"/>
          </w:rPr>
          <w:t>https://varazdin.hr/promo/</w:t>
        </w:r>
      </w:hyperlink>
    </w:p>
    <w:p w:rsidR="00A74411" w:rsidRDefault="00A74411"/>
    <w:sectPr w:rsidR="00A74411" w:rsidSect="00A74411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E2" w:rsidRDefault="00F648E2" w:rsidP="00A40DF8">
      <w:pPr>
        <w:spacing w:before="0" w:after="0"/>
      </w:pPr>
      <w:r>
        <w:separator/>
      </w:r>
    </w:p>
  </w:endnote>
  <w:endnote w:type="continuationSeparator" w:id="0">
    <w:p w:rsidR="00F648E2" w:rsidRDefault="00F648E2" w:rsidP="00A40D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951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DF8" w:rsidRDefault="00A40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0DF8" w:rsidRDefault="00A40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E2" w:rsidRDefault="00F648E2" w:rsidP="00A40DF8">
      <w:pPr>
        <w:spacing w:before="0" w:after="0"/>
      </w:pPr>
      <w:r>
        <w:separator/>
      </w:r>
    </w:p>
  </w:footnote>
  <w:footnote w:type="continuationSeparator" w:id="0">
    <w:p w:rsidR="00F648E2" w:rsidRDefault="00F648E2" w:rsidP="00A40DF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250"/>
    <w:multiLevelType w:val="hybridMultilevel"/>
    <w:tmpl w:val="1FF8C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31A4"/>
    <w:multiLevelType w:val="hybridMultilevel"/>
    <w:tmpl w:val="15EED02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216871"/>
    <w:multiLevelType w:val="hybridMultilevel"/>
    <w:tmpl w:val="233C2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3AE4"/>
    <w:multiLevelType w:val="hybridMultilevel"/>
    <w:tmpl w:val="E8EC6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0A1B"/>
    <w:multiLevelType w:val="hybridMultilevel"/>
    <w:tmpl w:val="B9125EF4"/>
    <w:lvl w:ilvl="0" w:tplc="EE0AAD2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12322"/>
    <w:multiLevelType w:val="hybridMultilevel"/>
    <w:tmpl w:val="72A49D54"/>
    <w:lvl w:ilvl="0" w:tplc="EE0AAD2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5"/>
    <w:rsid w:val="00090FF4"/>
    <w:rsid w:val="000B3BB3"/>
    <w:rsid w:val="000B7B68"/>
    <w:rsid w:val="000D740A"/>
    <w:rsid w:val="00141A31"/>
    <w:rsid w:val="001524F4"/>
    <w:rsid w:val="00154F6C"/>
    <w:rsid w:val="00192627"/>
    <w:rsid w:val="001C15F4"/>
    <w:rsid w:val="001C2FEB"/>
    <w:rsid w:val="001C5671"/>
    <w:rsid w:val="0021414A"/>
    <w:rsid w:val="002727E5"/>
    <w:rsid w:val="00326474"/>
    <w:rsid w:val="00332559"/>
    <w:rsid w:val="00336941"/>
    <w:rsid w:val="00343A8D"/>
    <w:rsid w:val="003B0019"/>
    <w:rsid w:val="0043553F"/>
    <w:rsid w:val="00462CEC"/>
    <w:rsid w:val="00464E1B"/>
    <w:rsid w:val="004674B0"/>
    <w:rsid w:val="00507CA9"/>
    <w:rsid w:val="00526C74"/>
    <w:rsid w:val="005537E1"/>
    <w:rsid w:val="005B0C8F"/>
    <w:rsid w:val="005D260B"/>
    <w:rsid w:val="005E7415"/>
    <w:rsid w:val="00660DAD"/>
    <w:rsid w:val="00666210"/>
    <w:rsid w:val="00674667"/>
    <w:rsid w:val="00687984"/>
    <w:rsid w:val="006A3C0E"/>
    <w:rsid w:val="006A74C4"/>
    <w:rsid w:val="00702AB2"/>
    <w:rsid w:val="00706A80"/>
    <w:rsid w:val="0074058F"/>
    <w:rsid w:val="00743802"/>
    <w:rsid w:val="0074661D"/>
    <w:rsid w:val="00753184"/>
    <w:rsid w:val="007B33A4"/>
    <w:rsid w:val="007F7639"/>
    <w:rsid w:val="0081722B"/>
    <w:rsid w:val="00872EEE"/>
    <w:rsid w:val="008C3685"/>
    <w:rsid w:val="008C51EB"/>
    <w:rsid w:val="009448CC"/>
    <w:rsid w:val="00950F79"/>
    <w:rsid w:val="00965D12"/>
    <w:rsid w:val="009839CF"/>
    <w:rsid w:val="00A218ED"/>
    <w:rsid w:val="00A40DF8"/>
    <w:rsid w:val="00A74411"/>
    <w:rsid w:val="00A94DC0"/>
    <w:rsid w:val="00A96EEE"/>
    <w:rsid w:val="00AA16D5"/>
    <w:rsid w:val="00AA64BD"/>
    <w:rsid w:val="00B21CC4"/>
    <w:rsid w:val="00B4095D"/>
    <w:rsid w:val="00B70D1F"/>
    <w:rsid w:val="00B70F08"/>
    <w:rsid w:val="00B83AA1"/>
    <w:rsid w:val="00B93BA5"/>
    <w:rsid w:val="00C3099F"/>
    <w:rsid w:val="00D24107"/>
    <w:rsid w:val="00D506E4"/>
    <w:rsid w:val="00D530EC"/>
    <w:rsid w:val="00D542E6"/>
    <w:rsid w:val="00DC199A"/>
    <w:rsid w:val="00DF2BB6"/>
    <w:rsid w:val="00E2435F"/>
    <w:rsid w:val="00E915C3"/>
    <w:rsid w:val="00E92FD6"/>
    <w:rsid w:val="00EF347B"/>
    <w:rsid w:val="00F648E2"/>
    <w:rsid w:val="00F7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8856C-2857-4040-9B6E-EC1845A8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4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7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DF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0DF8"/>
  </w:style>
  <w:style w:type="paragraph" w:styleId="Footer">
    <w:name w:val="footer"/>
    <w:basedOn w:val="Normal"/>
    <w:link w:val="FooterChar"/>
    <w:uiPriority w:val="99"/>
    <w:unhideWhenUsed/>
    <w:rsid w:val="00A40DF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varazdin.hr/prom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varazdin.hr/prom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80</cp:revision>
  <dcterms:created xsi:type="dcterms:W3CDTF">2020-06-15T22:06:00Z</dcterms:created>
  <dcterms:modified xsi:type="dcterms:W3CDTF">2020-06-16T05:18:00Z</dcterms:modified>
</cp:coreProperties>
</file>